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לבחור מגמה – לא לבחור גורל</w:t>
      </w:r>
    </w:p>
    <w:p>
      <w:pPr>
        <w:bidi w:val="1"/>
        <w:spacing w:after="40" w:before="0"/>
      </w:pPr>
      <w:r>
        <w:rPr>
          <w:rFonts w:ascii="Arial" w:hAnsi="Arial" w:cs="Arial"/>
          <w:b w:val="0"/>
          <w:color w:val="5D5675"/>
          <w:sz w:val="18"/>
          <w:rtl w:val="1"/>
          <w:szCs w:val="18"/>
        </w:rPr>
        <w:t>כתבה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בוחרים בסוף כיתה ט׳? · </w:t>
      </w:r>
      <w:r>
        <w:rPr>
          <w:rFonts w:ascii="Arial" w:hAnsi="Arial" w:cs="Arial"/>
          <w:b w:val="0"/>
          <w:sz w:val="17"/>
          <w:rtl w:val="1"/>
          <w:szCs w:val="17"/>
        </w:rPr>
        <w:t>מגמה לתיכון.</w:t>
      </w:r>
    </w:p>
    <w:p>
      <w:pPr>
        <w:bidi w:val="1"/>
        <w:spacing w:after="40" w:before="0"/>
      </w:pPr>
      <w:r>
        <w:rPr>
          <w:rFonts w:ascii="Arial" w:hAnsi="Arial" w:cs="Arial"/>
          <w:b/>
          <w:color w:val="C2417A"/>
          <w:sz w:val="17"/>
          <w:rtl w:val="1"/>
          <w:szCs w:val="17"/>
          <w:bCs/>
        </w:rPr>
        <w:t xml:space="preserve">2. מה אומרת היועצת על מגמה? · </w:t>
      </w:r>
      <w:r>
        <w:rPr>
          <w:rFonts w:ascii="Arial" w:hAnsi="Arial" w:cs="Arial"/>
          <w:b w:val="0"/>
          <w:sz w:val="17"/>
          <w:rtl w:val="1"/>
          <w:szCs w:val="17"/>
        </w:rPr>
        <w:t>שהיא לא גורל – היא תחנה ראשונה.</w:t>
      </w:r>
    </w:p>
    <w:p>
      <w:pPr>
        <w:bidi w:val="1"/>
        <w:spacing w:after="40" w:before="0"/>
      </w:pPr>
      <w:r>
        <w:rPr>
          <w:rFonts w:ascii="Arial" w:hAnsi="Arial" w:cs="Arial"/>
          <w:b/>
          <w:color w:val="C2417A"/>
          <w:sz w:val="17"/>
          <w:rtl w:val="1"/>
          <w:szCs w:val="17"/>
          <w:bCs/>
        </w:rPr>
        <w:t xml:space="preserve">3. מה עשתה הדס כדי לבחור? · </w:t>
      </w:r>
      <w:r>
        <w:rPr>
          <w:rFonts w:ascii="Arial" w:hAnsi="Arial" w:cs="Arial"/>
          <w:b w:val="0"/>
          <w:sz w:val="17"/>
          <w:rtl w:val="1"/>
          <w:szCs w:val="17"/>
        </w:rPr>
        <w:t>הלכה לשיעור אחד בכל מגמה.</w:t>
      </w:r>
    </w:p>
    <w:p>
      <w:pPr>
        <w:bidi w:val="1"/>
        <w:spacing w:after="40" w:before="0"/>
      </w:pPr>
      <w:r>
        <w:rPr>
          <w:rFonts w:ascii="Arial" w:hAnsi="Arial" w:cs="Arial"/>
          <w:b/>
          <w:color w:val="C2417A"/>
          <w:sz w:val="17"/>
          <w:rtl w:val="1"/>
          <w:szCs w:val="17"/>
          <w:bCs/>
        </w:rPr>
        <w:t xml:space="preserve">4. מה עשה עמרי אחרי שנה? · </w:t>
      </w:r>
      <w:r>
        <w:rPr>
          <w:rFonts w:ascii="Arial" w:hAnsi="Arial" w:cs="Arial"/>
          <w:b w:val="0"/>
          <w:sz w:val="17"/>
          <w:rtl w:val="1"/>
          <w:szCs w:val="17"/>
        </w:rPr>
        <w:t>החליף מגמה.</w:t>
      </w:r>
    </w:p>
    <w:p>
      <w:pPr>
        <w:bidi w:val="1"/>
        <w:spacing w:after="40" w:before="0"/>
      </w:pPr>
      <w:r>
        <w:rPr>
          <w:rFonts w:ascii="Arial" w:hAnsi="Arial" w:cs="Arial"/>
          <w:b/>
          <w:color w:val="C2417A"/>
          <w:sz w:val="17"/>
          <w:rtl w:val="1"/>
          <w:szCs w:val="17"/>
          <w:bCs/>
        </w:rPr>
        <w:t xml:space="preserve">5. מה המסר של הכתבה? · </w:t>
      </w:r>
      <w:r>
        <w:rPr>
          <w:rFonts w:ascii="Arial" w:hAnsi="Arial" w:cs="Arial"/>
          <w:b w:val="0"/>
          <w:sz w:val="17"/>
          <w:rtl w:val="1"/>
          <w:szCs w:val="17"/>
        </w:rPr>
        <w:t>לאסוף מידע, להתייעץ ולהקשיב לעצמנו.</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לפי היועצת, על איזו הנחה לא נכונה נשען הלחץ? · </w:t>
      </w:r>
      <w:r>
        <w:rPr>
          <w:rFonts w:ascii="Arial" w:hAnsi="Arial" w:cs="Arial"/>
          <w:b w:val="0"/>
          <w:sz w:val="17"/>
          <w:rtl w:val="1"/>
          <w:szCs w:val="17"/>
        </w:rPr>
        <w:t>ב. שמגמה בתיכון קובעת את הגורל</w:t>
      </w:r>
    </w:p>
    <w:p>
      <w:pPr>
        <w:bidi w:val="1"/>
        <w:spacing w:after="40" w:before="0"/>
      </w:pPr>
      <w:r>
        <w:rPr>
          <w:rFonts w:ascii="Arial" w:hAnsi="Arial" w:cs="Arial"/>
          <w:b/>
          <w:color w:val="C2417A"/>
          <w:sz w:val="17"/>
          <w:rtl w:val="1"/>
          <w:szCs w:val="17"/>
          <w:bCs/>
        </w:rPr>
        <w:t xml:space="preserve">7. מה עשתה הדס כדי לבחור? · </w:t>
      </w:r>
      <w:r>
        <w:rPr>
          <w:rFonts w:ascii="Arial" w:hAnsi="Arial" w:cs="Arial"/>
          <w:b w:val="0"/>
          <w:sz w:val="17"/>
          <w:rtl w:val="1"/>
          <w:szCs w:val="17"/>
        </w:rPr>
        <w:t>ג. ישבה בשיעור אחד של כל מגמה שעניינה אותה</w:t>
      </w:r>
    </w:p>
    <w:p>
      <w:pPr>
        <w:bidi w:val="1"/>
        <w:spacing w:after="40" w:before="0"/>
      </w:pPr>
      <w:r>
        <w:rPr>
          <w:rFonts w:ascii="Arial" w:hAnsi="Arial" w:cs="Arial"/>
          <w:b/>
          <w:color w:val="C2417A"/>
          <w:sz w:val="17"/>
          <w:rtl w:val="1"/>
          <w:szCs w:val="17"/>
          <w:bCs/>
        </w:rPr>
        <w:t xml:space="preserve">8. מה מלמד הסיפור של עמרי? · </w:t>
      </w:r>
      <w:r>
        <w:rPr>
          <w:rFonts w:ascii="Arial" w:hAnsi="Arial" w:cs="Arial"/>
          <w:b w:val="0"/>
          <w:sz w:val="17"/>
          <w:rtl w:val="1"/>
          <w:szCs w:val="17"/>
        </w:rPr>
        <w:t>ב. שאפשר לשנות כיוון, ומה שלמדת לא הולך לאיבוד</w:t>
      </w:r>
    </w:p>
    <w:p>
      <w:pPr>
        <w:bidi w:val="1"/>
        <w:spacing w:after="40" w:before="0"/>
      </w:pPr>
      <w:r>
        <w:rPr>
          <w:rFonts w:ascii="Arial" w:hAnsi="Arial" w:cs="Arial"/>
          <w:b/>
          <w:color w:val="C2417A"/>
          <w:sz w:val="17"/>
          <w:rtl w:val="1"/>
          <w:szCs w:val="17"/>
          <w:bCs/>
        </w:rPr>
        <w:t xml:space="preserve">9. מהי המטרה העיקרית של הכתבה? · </w:t>
      </w:r>
      <w:r>
        <w:rPr>
          <w:rFonts w:ascii="Arial" w:hAnsi="Arial" w:cs="Arial"/>
          <w:b w:val="0"/>
          <w:sz w:val="17"/>
          <w:rtl w:val="1"/>
          <w:szCs w:val="17"/>
        </w:rPr>
        <w:t>ב. להרגיע ולתת כלים לבחירה שקולה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ראיות אפשריות: ״שעות הלימוד במגמה שייכות רק לכם״, ״חברויות אמיתיות ממשיכות בהפסקות״, הסיפור של עמרי.</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לבחור מגמה – לא לבחור גורל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מגמה</w:t>
            </w:r>
          </w:p>
        </w:tc>
        <w:tc>
          <w:tcPr>
            <w:tcW w:type="dxa" w:w="3475"/>
          </w:tcPr>
          <w:p>
            <w:pPr>
              <w:bidi w:val="1"/>
            </w:pPr>
            <w:r>
              <w:rPr>
                <w:rFonts w:ascii="Arial" w:hAnsi="Arial" w:cs="Arial"/>
                <w:b w:val="0"/>
                <w:sz w:val="20"/>
                <w:rtl w:val="1"/>
                <w:szCs w:val="20"/>
              </w:rPr>
              <w:t>תחום לימוד מורחב בתיכון (למשל ביולוגיה, אמנות)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יועצת</w:t>
            </w:r>
          </w:p>
        </w:tc>
        <w:tc>
          <w:tcPr>
            <w:tcW w:type="dxa" w:w="3475"/>
          </w:tcPr>
          <w:p>
            <w:pPr>
              <w:bidi w:val="1"/>
            </w:pPr>
            <w:r>
              <w:rPr>
                <w:rFonts w:ascii="Arial" w:hAnsi="Arial" w:cs="Arial"/>
                <w:b w:val="0"/>
                <w:sz w:val="20"/>
                <w:rtl w:val="1"/>
                <w:szCs w:val="20"/>
              </w:rPr>
              <w:t>אשת מקצוע בבית הספר שעוזרת לתלמידים בהחלטות ובקשיים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סדר עדיפות</w:t>
            </w:r>
          </w:p>
        </w:tc>
        <w:tc>
          <w:tcPr>
            <w:tcW w:type="dxa" w:w="3475"/>
          </w:tcPr>
          <w:p>
            <w:pPr>
              <w:bidi w:val="1"/>
            </w:pPr>
            <w:r>
              <w:rPr>
                <w:rFonts w:ascii="Arial" w:hAnsi="Arial" w:cs="Arial"/>
                <w:b w:val="0"/>
                <w:sz w:val="20"/>
                <w:rtl w:val="1"/>
                <w:szCs w:val="20"/>
              </w:rPr>
              <w:t>מה הכי חשוב לי, ואחריו מה פחות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הנחה</w:t>
            </w:r>
          </w:p>
        </w:tc>
        <w:tc>
          <w:tcPr>
            <w:tcW w:type="dxa" w:w="3475"/>
          </w:tcPr>
          <w:p>
            <w:pPr>
              <w:bidi w:val="1"/>
            </w:pPr>
            <w:r>
              <w:rPr>
                <w:rFonts w:ascii="Arial" w:hAnsi="Arial" w:cs="Arial"/>
                <w:b w:val="0"/>
                <w:sz w:val="20"/>
                <w:rtl w:val="1"/>
                <w:szCs w:val="20"/>
              </w:rPr>
              <w:t>מחשבה שאנחנו מניחים שהיא נכונה בלי לבדוק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מלכודת</w:t>
            </w:r>
          </w:p>
        </w:tc>
        <w:tc>
          <w:tcPr>
            <w:tcW w:type="dxa" w:w="3475"/>
          </w:tcPr>
          <w:p>
            <w:pPr>
              <w:bidi w:val="1"/>
            </w:pPr>
            <w:r>
              <w:rPr>
                <w:rFonts w:ascii="Arial" w:hAnsi="Arial" w:cs="Arial"/>
                <w:b w:val="0"/>
                <w:sz w:val="20"/>
                <w:rtl w:val="1"/>
                <w:szCs w:val="20"/>
              </w:rPr>
              <w:t>מצב שקל ליפול אליו בלי לשים לב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נמשך</w:t>
            </w:r>
          </w:p>
        </w:tc>
        <w:tc>
          <w:tcPr>
            <w:tcW w:type="dxa" w:w="3475"/>
          </w:tcPr>
          <w:p>
            <w:pPr>
              <w:bidi w:val="1"/>
            </w:pPr>
            <w:r>
              <w:rPr>
                <w:rFonts w:ascii="Arial" w:hAnsi="Arial" w:cs="Arial"/>
                <w:b w:val="0"/>
                <w:sz w:val="20"/>
                <w:rtl w:val="1"/>
                <w:szCs w:val="20"/>
              </w:rPr>
              <w:t>מרגיש משיכה, רוצה ללכת לכיוון מסוים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בוגר</w:t>
            </w:r>
          </w:p>
        </w:tc>
        <w:tc>
          <w:tcPr>
            <w:tcW w:type="dxa" w:w="3475"/>
          </w:tcPr>
          <w:p>
            <w:pPr>
              <w:bidi w:val="1"/>
            </w:pPr>
            <w:r>
              <w:rPr>
                <w:rFonts w:ascii="Arial" w:hAnsi="Arial" w:cs="Arial"/>
                <w:b w:val="0"/>
                <w:sz w:val="20"/>
                <w:rtl w:val="1"/>
                <w:szCs w:val="20"/>
              </w:rPr>
              <w:t>מי שסיים את הלימודים במקום מסוים</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לבחור מגמה – לא לבחור גורל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בסוף כיתה ט׳ בוחרים מגמה לתיכון. זו החלטה חשובה, ותלמידים רבים מרגישים לחץ. איתי אומר: ״הרגשתי שאני חותם על החיים שלי.״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היועצת מיכל אומרת: ״מגמה היא לא גורל. היא תחנה ראשונה.״ היא מציעה לשאול שלוש שאלות: מה מעניין אותי? במה אני מצליח? מה אני רוצה לנסות?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הדס הלכה לשיעור אחד בכל מגמה. כך גילתה מה היא אוהבת. איתי למד שלא חייבים ללכת אחרי החברים.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עמרי, בוגר, החליף מגמה אחרי שנה – וזה היה בסדר. מה שלמד לא הלך לאיבוד.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המסר: אוספים מידע, מתייעצים ומקשיבים לעצמנו.</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בוחרים בסוף כיתה ט׳?</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אומרת היועצת על מגמה?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עשתה הדס כדי לבחור?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עשה עמרי אחרי שנה?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המסר של הכתבה?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לפי היועצת, על איזו הנחה לא נכונה נשען הלחץ?</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שהמגמות קשות מדי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שמגמה בתיכון קובעת את הגורל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שההורים מחליטים במקום התלמידים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שאין מספיק מגמות</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עשתה הדס כדי לבחור?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שאלה את החברות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בחרה לפי הציונים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ישבה בשיעור אחד של כל מגמה שעניינה אותה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בחרה באקראי</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מלמד הסיפור של עמרי?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שאסור להחליף מגמה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שאפשר לשנות כיוון, ומה שלמדת לא הולך לאיבוד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שמגמת מחשבים היא הטובה ביותר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שכדאי לבחור כמו החברים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מהי המטרה העיקרית של הכתבה?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לשכנע לבחור מגמה מדעית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להרגיע ולתת כלים לבחירה שקולה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לספר על בית ספר מסוים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לבקר את מערכת החינוך</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לבחור מגמה – לא לבחור גורל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לבחור מגמה – לא לבחור גורל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